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Ste-Marie-Madeleine, </w:t>
      </w:r>
      <w:r w:rsidR="005C623E" w:rsidRPr="00E56FB5">
        <w:rPr>
          <w:rFonts w:ascii="Arial" w:hAnsi="Arial" w:cs="Arial"/>
          <w:b w:val="0"/>
          <w:color w:val="000000"/>
        </w:rPr>
        <w:t>2</w:t>
      </w:r>
      <w:r w:rsidR="004770B3">
        <w:rPr>
          <w:rFonts w:ascii="Arial" w:hAnsi="Arial" w:cs="Arial"/>
          <w:b w:val="0"/>
          <w:color w:val="000000"/>
        </w:rPr>
        <w:t>6</w:t>
      </w:r>
      <w:r w:rsidR="005C623E" w:rsidRPr="00E56FB5">
        <w:rPr>
          <w:rFonts w:ascii="Arial" w:hAnsi="Arial" w:cs="Arial"/>
          <w:b w:val="0"/>
          <w:color w:val="000000"/>
        </w:rPr>
        <w:t>-01-2026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 w:rsidRPr="00E56FB5">
        <w:rPr>
          <w:rFonts w:ascii="Arial" w:hAnsi="Arial" w:cs="Arial"/>
          <w:bCs/>
          <w:color w:val="000000"/>
        </w:rPr>
        <w:t>Les Jardins de la Yamaska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bCs/>
          <w:color w:val="000000"/>
        </w:rPr>
        <w:t>Promoteur Jardins de la Yamaska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3200 rue Saint-Charles, Bureau 142,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 w:rsidRPr="00E56FB5">
        <w:rPr>
          <w:rFonts w:ascii="Arial" w:hAnsi="Arial" w:cs="Arial"/>
          <w:b w:val="0"/>
          <w:color w:val="000000"/>
        </w:rPr>
        <w:t>Saint-Hyacinthe, QC J2T 0A1</w:t>
        <w:br/>
      </w:r>
      <w:r w:rsidR="006921AD" w:rsidRPr="00E56FB5">
        <w:rPr>
          <w:rFonts w:ascii="Arial" w:hAnsi="Arial" w:cs="Arial"/>
          <w:b w:val="0"/>
          <w:color w:val="000000"/>
        </w:rPr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>Construction d’un bâtiment de 4 étages (150 logements locatifs) à Saint-Hyacinthe</w:t>
      </w:r>
      <w:r w:rsidR="00507485" w:rsidRPr="00E56FB5">
        <w:rPr>
          <w:rFonts w:ascii="Arial" w:hAnsi="Arial" w:cs="Arial"/>
          <w:color w:val="000000"/>
        </w:rPr>
      </w:r>
      <w:r w:rsidR="003941FF" w:rsidRPr="00E56FB5">
        <w:rPr>
          <w:rFonts w:ascii="Arial" w:hAnsi="Arial" w:cs="Arial"/>
          <w:color w:val="000000"/>
        </w:rPr>
      </w:r>
      <w:r w:rsidR="00ED0D42" w:rsidRPr="00E56FB5">
        <w:rPr>
          <w:rFonts w:ascii="Arial" w:hAnsi="Arial" w:cs="Arial"/>
          <w:color w:val="000000"/>
          <w:lang w:val="fr-FR"/>
        </w:rPr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OS261027-01</w:t>
      </w:r>
      <w:r w:rsidR="00ED0D42" w:rsidRPr="00E56FB5">
        <w:rPr>
          <w:rFonts w:ascii="Arial" w:hAnsi="Arial" w:cs="Arial"/>
          <w:color w:val="000000"/>
        </w:rPr>
      </w:r>
      <w:r w:rsidRPr="00E56FB5">
        <w:rPr>
          <w:rFonts w:ascii="Arial" w:hAnsi="Arial" w:cs="Arial"/>
          <w:color w:val="000000"/>
        </w:rPr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sommes disposés à réaliser </w:t>
      </w:r>
      <w:r w:rsidR="001D331F">
        <w:rPr>
          <w:rFonts w:ascii="Arial" w:hAnsi="Arial" w:cs="Arial"/>
          <w:sz w:val="24"/>
          <w:szCs w:val="24"/>
        </w:rPr>
        <w:t xml:space="preserve">ce mandat </w:t>
      </w:r>
      <w:r>
        <w:rPr>
          <w:rFonts w:ascii="Arial" w:hAnsi="Arial" w:cs="Arial"/>
          <w:sz w:val="24"/>
          <w:szCs w:val="24"/>
        </w:rPr>
        <w:t xml:space="preserve">pour la somme forfaitaire de </w:t>
      </w:r>
      <w:r w:rsidR="00E8494C">
        <w:rPr>
          <w:rFonts w:ascii="Arial" w:hAnsi="Arial" w:cs="Arial"/>
          <w:b/>
          <w:sz w:val="24"/>
          <w:szCs w:val="24"/>
        </w:rPr>
        <w:t>143</w:t>
      </w:r>
      <w:r w:rsidR="009249C2">
        <w:rPr>
          <w:rFonts w:ascii="Arial" w:hAnsi="Arial" w:cs="Arial"/>
          <w:b/>
          <w:sz w:val="24"/>
          <w:szCs w:val="24"/>
        </w:rPr>
        <w:t xml:space="preserve"> </w:t>
      </w:r>
      <w:r w:rsidR="00E8494C">
        <w:rPr>
          <w:rFonts w:ascii="Arial" w:hAnsi="Arial" w:cs="Arial"/>
          <w:b/>
          <w:sz w:val="24"/>
          <w:szCs w:val="24"/>
        </w:rPr>
        <w:t>840</w:t>
      </w:r>
      <w:r w:rsidR="00F4442C">
        <w:rPr>
          <w:rFonts w:ascii="Arial" w:hAnsi="Arial" w:cs="Arial"/>
          <w:b/>
          <w:sz w:val="24"/>
          <w:szCs w:val="24"/>
        </w:rPr>
      </w:r>
      <w:r w:rsidR="009249C2">
        <w:rPr>
          <w:rFonts w:ascii="Arial" w:hAnsi="Arial" w:cs="Arial"/>
          <w:b/>
          <w:sz w:val="24"/>
          <w:szCs w:val="24"/>
        </w:rPr>
      </w:r>
      <w:r w:rsidR="00F4442C"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</w:t>
      </w:r>
      <w:r w:rsidR="00E8494C">
        <w:rPr>
          <w:rFonts w:ascii="Arial" w:hAnsi="Arial" w:cs="Arial"/>
          <w:b/>
          <w:sz w:val="24"/>
          <w:szCs w:val="24"/>
        </w:rPr>
        <w:t xml:space="preserve"> </w:t>
      </w:r>
      <w:r w:rsidR="00585D1E">
        <w:rPr>
          <w:rFonts w:ascii="Arial" w:hAnsi="Arial" w:cs="Arial"/>
          <w:b/>
          <w:sz w:val="24"/>
          <w:szCs w:val="24"/>
        </w:rPr>
        <w:t>TNI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réparti comme suit :</w:t>
      </w:r>
      <w:r w:rsidR="00CD2323">
        <w:rPr>
          <w:rFonts w:ascii="Arial" w:hAnsi="Arial" w:cs="Arial"/>
          <w:sz w:val="24"/>
          <w:szCs w:val="24"/>
        </w:rPr>
        <w:t xml:space="preserve">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et devis </w:t>
      </w:r>
      <w:r w:rsidR="004D35B9">
        <w:rPr>
          <w:rFonts w:ascii="Arial" w:hAnsi="Arial" w:cs="Arial"/>
          <w:sz w:val="24"/>
          <w:szCs w:val="24"/>
        </w:rPr>
        <w:t>mécanique/</w:t>
      </w:r>
      <w:r>
        <w:rPr>
          <w:rFonts w:ascii="Arial" w:hAnsi="Arial" w:cs="Arial"/>
          <w:sz w:val="24"/>
          <w:szCs w:val="24"/>
        </w:rPr>
        <w:t xml:space="preserve">électrique                </w:t>
      </w:r>
      <w:r w:rsidR="004D35B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249C2">
        <w:rPr>
          <w:rFonts w:ascii="Arial" w:hAnsi="Arial" w:cs="Arial"/>
          <w:sz w:val="24"/>
          <w:szCs w:val="24"/>
        </w:rPr>
        <w:t>108 150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 w:rsidRPr="00E92D06">
        <w:rPr>
          <w:rFonts w:ascii="Arial" w:hAnsi="Arial" w:cs="Arial"/>
          <w:sz w:val="24"/>
          <w:szCs w:val="24"/>
        </w:rPr>
        <w:t>Surveillance partielle</w:t>
      </w:r>
      <w:r w:rsidR="00DA0618">
        <w:rPr>
          <w:rFonts w:ascii="Arial" w:hAnsi="Arial" w:cs="Arial"/>
          <w:sz w:val="24"/>
          <w:szCs w:val="24"/>
        </w:rPr>
        <w:t xml:space="preserve"> </w:t>
      </w:r>
      <w:r w:rsidRPr="00CE0044">
        <w:rPr>
          <w:rFonts w:ascii="Arial" w:hAnsi="Arial" w:cs="Arial"/>
        </w:rPr>
        <w:t xml:space="preserve">(incluant </w:t>
      </w:r>
      <w:r w:rsidR="007C0F3E">
        <w:rPr>
          <w:rFonts w:ascii="Arial" w:hAnsi="Arial" w:cs="Arial"/>
        </w:rPr>
        <w:t>36</w:t>
      </w:r>
      <w:r w:rsidRPr="00CE0044">
        <w:rPr>
          <w:rFonts w:ascii="Arial" w:hAnsi="Arial" w:cs="Arial"/>
        </w:rPr>
        <w:t xml:space="preserve"> visites</w:t>
      </w:r>
      <w:r w:rsidRPr="009249C2">
        <w:rPr>
          <w:rFonts w:ascii="Arial" w:hAnsi="Arial" w:cs="Arial"/>
        </w:rPr>
        <w:t>)</w:t>
      </w:r>
      <w:r w:rsidR="007C0F3E">
        <w:rPr>
          <w:rFonts w:ascii="Arial" w:hAnsi="Arial" w:cs="Arial"/>
        </w:rPr>
        <w:t xml:space="preserve">                 </w:t>
      </w:r>
      <w:r w:rsidR="003C5957" w:rsidRPr="009249C2">
        <w:rPr>
          <w:rFonts w:ascii="Arial" w:hAnsi="Arial" w:cs="Arial"/>
        </w:rPr>
        <w:t xml:space="preserve">      </w:t>
      </w:r>
      <w:r w:rsidR="00D60F25" w:rsidRPr="009249C2">
        <w:rPr>
          <w:rFonts w:ascii="Arial" w:hAnsi="Arial" w:cs="Arial"/>
        </w:rPr>
        <w:t xml:space="preserve">                    </w:t>
      </w:r>
      <w:r w:rsidR="00DA0618" w:rsidRPr="009249C2">
        <w:rPr>
          <w:rFonts w:ascii="Arial" w:hAnsi="Arial" w:cs="Arial"/>
        </w:rPr>
        <w:t xml:space="preserve"> </w:t>
      </w:r>
      <w:r w:rsidR="00D60F25" w:rsidRPr="009249C2">
        <w:rPr>
          <w:rFonts w:ascii="Arial" w:hAnsi="Arial" w:cs="Arial"/>
        </w:rPr>
        <w:t xml:space="preserve"> </w:t>
      </w:r>
      <w:r w:rsidR="003C5957" w:rsidRPr="009249C2">
        <w:rPr>
          <w:rFonts w:ascii="Arial" w:hAnsi="Arial" w:cs="Arial"/>
        </w:rPr>
        <w:t xml:space="preserve">     </w:t>
      </w:r>
      <w:r w:rsidR="00E8494C" w:rsidRPr="009249C2">
        <w:rPr>
          <w:rFonts w:ascii="Arial" w:hAnsi="Arial" w:cs="Arial"/>
        </w:rPr>
        <w:t xml:space="preserve">  </w:t>
      </w:r>
      <w:r w:rsidR="00E8494C" w:rsidRPr="009249C2">
        <w:rPr>
          <w:rFonts w:ascii="Arial" w:hAnsi="Arial" w:cs="Arial"/>
          <w:sz w:val="24"/>
          <w:szCs w:val="24"/>
        </w:rPr>
        <w:t xml:space="preserve"> </w:t>
      </w:r>
      <w:r w:rsidR="009249C2" w:rsidRPr="009249C2">
        <w:rPr>
          <w:rFonts w:ascii="Arial" w:hAnsi="Arial" w:cs="Arial"/>
          <w:sz w:val="24"/>
          <w:szCs w:val="24"/>
        </w:rPr>
        <w:t>35 690 $</w:t>
      </w:r>
      <w:r w:rsidR="00FC3779" w:rsidRPr="009249C2">
        <w:rPr>
          <w:rFonts w:ascii="Arial" w:hAnsi="Arial" w:cs="Arial"/>
          <w:sz w:val="24"/>
          <w:szCs w:val="24"/>
        </w:rPr>
      </w:r>
      <w:r w:rsidR="00D77378" w:rsidRPr="009249C2">
        <w:rPr>
          <w:rFonts w:ascii="Arial" w:hAnsi="Arial" w:cs="Arial"/>
          <w:sz w:val="24"/>
          <w:szCs w:val="24"/>
        </w:rPr>
      </w:r>
      <w:r w:rsidR="00FC3779" w:rsidRPr="009249C2">
        <w:rPr>
          <w:rFonts w:ascii="Arial" w:hAnsi="Arial" w:cs="Arial"/>
          <w:sz w:val="24"/>
          <w:szCs w:val="24"/>
        </w:rPr>
      </w:r>
      <w:r w:rsidRPr="009249C2">
        <w:rPr>
          <w:rFonts w:ascii="Arial" w:hAnsi="Arial" w:cs="Arial"/>
          <w:sz w:val="24"/>
          <w:szCs w:val="24"/>
        </w:rPr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Rapport de Comparaison énergétique APH-Select                    </w:t>
      </w:r>
      <w:r w:rsidRPr="009249C2">
        <w:rPr>
          <w:rFonts w:ascii="Arial" w:hAnsi="Arial" w:cs="Arial"/>
          <w:sz w:val="24"/>
          <w:szCs w:val="24"/>
          <w:u w:val="single"/>
        </w:rPr>
        <w:t xml:space="preserve">                N/A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143 840 $</w:t>
      </w:r>
      <w:r w:rsidR="009249C2">
        <w:rPr>
          <w:rFonts w:ascii="Arial" w:hAnsi="Arial" w:cs="Arial"/>
        </w:rPr>
      </w:r>
      <w:r w:rsidR="00E8494C">
        <w:rPr>
          <w:rFonts w:ascii="Arial" w:hAnsi="Arial" w:cs="Arial"/>
        </w:rPr>
      </w:r>
      <w:r w:rsidR="00BF14B7">
        <w:rPr>
          <w:rFonts w:ascii="Arial" w:hAnsi="Arial" w:cs="Arial"/>
        </w:rPr>
      </w:r>
      <w:r w:rsidR="009249C2">
        <w:rPr>
          <w:rFonts w:ascii="Arial" w:hAnsi="Arial" w:cs="Arial"/>
        </w:rPr>
      </w:r>
      <w:r w:rsidR="002253CE">
        <w:rPr>
          <w:rFonts w:ascii="Arial" w:hAnsi="Arial" w:cs="Arial"/>
        </w:rPr>
      </w:r>
      <w:r w:rsidR="007C3585">
        <w:rPr>
          <w:rFonts w:ascii="Arial" w:hAnsi="Arial" w:cs="Arial"/>
        </w:rPr>
      </w:r>
      <w:r w:rsidR="00BF14B7">
        <w:rPr>
          <w:rFonts w:ascii="Arial" w:hAnsi="Arial" w:cs="Arial"/>
        </w:rPr>
      </w:r>
      <w:r w:rsidR="00B868EF" w:rsidRPr="00585D1E">
        <w:rPr>
          <w:rFonts w:ascii="Arial" w:hAnsi="Arial" w:cs="Arial"/>
        </w:rPr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CM/OS261027-01</w:t>
      </w:r>
      <w:r w:rsidR="00572843"/>
      <w:r w:rsidR="009249C2"/>
      <w:r w:rsidR="00551B7A"/>
      <w:r w:rsidR="00A666DA"/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 w:rsidRPr="009249C2">
        <w:rPr>
          <w:rFonts w:ascii="Arial" w:hAnsi="Arial" w:cs="Arial"/>
          <w:bCs/>
          <w:color w:val="000000"/>
        </w:rPr>
        <w:t>Les Jardins de la Yamaska</w:t>
        <w:tab/>
        <w:tab/>
        <w:tab/>
        <w:t xml:space="preserve">                                         Date </w:t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E8494C">
        <w:rPr>
          <w:rFonts w:ascii="Arial" w:hAnsi="Arial" w:cs="Arial"/>
          <w:color w:val="222222"/>
          <w:shd w:val="clear" w:color="auto" w:fill="FFFFFF"/>
        </w:rPr>
      </w:r>
      <w:r w:rsidR="00A54829">
        <w:rPr>
          <w:rFonts w:ascii="Arial" w:hAnsi="Arial" w:cs="Arial"/>
          <w:color w:val="222222"/>
          <w:shd w:val="clear" w:color="auto" w:fill="FFFFFF"/>
        </w:rPr>
      </w:r>
      <w:r w:rsidR="00A54829" w:rsidRPr="000E6057">
        <w:rPr>
          <w:rFonts w:ascii="Arial" w:hAnsi="Arial" w:cs="Arial"/>
        </w:rPr>
      </w:r>
      <w:r w:rsidR="00A54829">
        <w:rPr>
          <w:rFonts w:ascii="Arial" w:hAnsi="Arial" w:cs="Arial"/>
        </w:rPr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p>
      <w:r>
        <w:br w:type="page"/>
      </w:r>
    </w:p>
    <w:p>
      <w:r>
        <w:rPr>
          <w:b/>
        </w:rPr>
        <w:t>ANNEXE — DÉTAIL DES CALCULS</w:t>
      </w:r>
    </w:p>
    <w:p/>
    <w:p>
      <w:r>
        <w:t>Projet : Les Jardins de la Yamaska — Phase 4</w:t>
      </w:r>
    </w:p>
    <w:p/>
    <w:p>
      <w:r>
        <w:t>DIRECTIVES APPLIQUÉES :</w:t>
      </w:r>
    </w:p>
    <w:p>
      <w:r>
        <w:t xml:space="preserve">  • Surveillance : 36 visites (spécifié)</w:t>
      </w:r>
    </w:p>
    <w:p/>
    <w:p>
      <w:r>
        <w:t>CALCUL PLANS ET DEVIS :</w:t>
      </w:r>
    </w:p>
    <w:p>
      <w:r>
        <w:t xml:space="preserve">  Unités uniques    :   3 × 1 400 $ =    4 200 $</w:t>
      </w:r>
    </w:p>
    <w:p>
      <w:r>
        <w:t xml:space="preserve">  Unités miroirs    :   3 × 1 050 $ =    3 150 $</w:t>
      </w:r>
    </w:p>
    <w:p>
      <w:r>
        <w:t xml:space="preserve">  Unités identiques : 144 ×   700 $ =  100 800 $</w:t>
      </w:r>
    </w:p>
    <w:p>
      <w:r>
        <w:t xml:space="preserve">  Sous-total PD     :                  108 150 $</w:t>
      </w:r>
    </w:p>
    <w:p/>
    <w:p>
      <w:r>
        <w:t>CALCUL SURVEILLANCE :</w:t>
      </w:r>
    </w:p>
    <w:p>
      <w:r>
        <w:t xml:space="preserve">  Base (33% du PD)  : 33% × 108 150 $ = 35 690 $</w:t>
      </w:r>
    </w:p>
    <w:p>
      <w:r>
        <w:t xml:space="preserve">  Nombre de visites : 36</w:t>
      </w:r>
    </w:p>
    <w:p/>
    <w:p>
      <w:r>
        <w:t>RAPPORT APH-SELECT : N/A</w:t>
      </w:r>
    </w:p>
    <w:p/>
    <w:p>
      <w:r>
        <w:t>══════════════════════════════════════</w:t>
      </w:r>
    </w:p>
    <w:p>
      <w:r>
        <w:t xml:space="preserve">  TOTAL : 108 150 $ + 35 690 $ = 143 840 $ TNI</w:t>
      </w:r>
    </w:p>
    <w:p>
      <w:r>
        <w:t>══════════════════════════════════════</w:t>
      </w: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